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4B64C8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>
        <w:rPr>
          <w:rFonts w:cs="Arial"/>
          <w:b/>
          <w:bCs/>
          <w:sz w:val="32"/>
          <w:szCs w:val="32"/>
        </w:rPr>
        <w:t>2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124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4B64C8">
        <w:rPr>
          <w:rFonts w:cs="Arial"/>
          <w:b/>
          <w:sz w:val="32"/>
          <w:szCs w:val="32"/>
        </w:rPr>
        <w:t>ПРОФИЛАКТИКА СОЦИАЛЬНО-НЕГАТИВНЫХ ЯВЛЕНИЙ В ШИРОКОВСКОМ МУНИЦИПАЛЬНОМ ОБРАЗОВАНИИ</w:t>
      </w:r>
      <w:r>
        <w:rPr>
          <w:rFonts w:cs="Arial"/>
          <w:b/>
          <w:sz w:val="32"/>
          <w:szCs w:val="32"/>
        </w:rPr>
        <w:t xml:space="preserve"> НА 202</w:t>
      </w:r>
      <w:r w:rsidR="00C0259B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C0259B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202</w:t>
      </w:r>
      <w:r w:rsidR="00C0259B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4B64C8">
        <w:rPr>
          <w:rFonts w:cs="Arial"/>
          <w:sz w:val="24"/>
          <w:szCs w:val="24"/>
        </w:rPr>
        <w:t>П</w:t>
      </w:r>
      <w:r w:rsidR="004B64C8" w:rsidRPr="004B64C8">
        <w:rPr>
          <w:rFonts w:cs="Arial"/>
          <w:sz w:val="24"/>
          <w:szCs w:val="24"/>
        </w:rPr>
        <w:t xml:space="preserve">рофилактика </w:t>
      </w:r>
      <w:r w:rsidR="004B64C8">
        <w:rPr>
          <w:rFonts w:cs="Arial"/>
          <w:sz w:val="24"/>
          <w:szCs w:val="24"/>
        </w:rPr>
        <w:t>социально-негативных явлений в Ш</w:t>
      </w:r>
      <w:r w:rsidR="004B64C8" w:rsidRPr="004B64C8">
        <w:rPr>
          <w:rFonts w:cs="Arial"/>
          <w:sz w:val="24"/>
          <w:szCs w:val="24"/>
        </w:rPr>
        <w:t>ироковском муниципальном образовании</w:t>
      </w:r>
      <w:r w:rsidR="004B64C8">
        <w:rPr>
          <w:rFonts w:cs="Arial"/>
          <w:sz w:val="24"/>
          <w:szCs w:val="24"/>
        </w:rPr>
        <w:t>»</w:t>
      </w:r>
      <w:r w:rsidR="004B64C8" w:rsidRPr="004B64C8">
        <w:rPr>
          <w:rFonts w:cs="Arial"/>
          <w:sz w:val="24"/>
          <w:szCs w:val="24"/>
        </w:rPr>
        <w:t xml:space="preserve"> </w:t>
      </w:r>
      <w:r w:rsidR="009C61F5" w:rsidRPr="009C61F5">
        <w:rPr>
          <w:rFonts w:cs="Arial"/>
          <w:sz w:val="24"/>
          <w:szCs w:val="24"/>
        </w:rPr>
        <w:t>на 202</w:t>
      </w:r>
      <w:r w:rsidR="004B64C8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4B64C8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4B64C8">
        <w:rPr>
          <w:rFonts w:cs="Arial"/>
          <w:sz w:val="24"/>
          <w:szCs w:val="24"/>
        </w:rPr>
        <w:t>5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4B64C8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4B64C8" w:rsidP="004B64C8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B64C8" w:rsidRDefault="00722240" w:rsidP="004B64C8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B64C8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722240" w:rsidP="004B64C8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B64C8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B64C8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4B64C8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4B64C8">
        <w:rPr>
          <w:rFonts w:ascii="Courier New" w:hAnsi="Courier New" w:cs="Courier New"/>
          <w:sz w:val="22"/>
          <w:szCs w:val="22"/>
        </w:rPr>
        <w:t>124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4B64C8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4B64C8">
        <w:rPr>
          <w:rFonts w:ascii="Arial" w:hAnsi="Arial" w:cs="Arial"/>
          <w:b/>
          <w:sz w:val="30"/>
          <w:szCs w:val="30"/>
        </w:rPr>
        <w:t xml:space="preserve">ПРОФИЛАКТИКА СОЦИАЛЬНО-НЕГАТИВНЫХ ЯВЛЕНИЙ В ШИРОКОВСКОМ МУНИЦИПАЛЬНОМ ОБРАЗОВАНИИ </w:t>
      </w:r>
      <w:r w:rsidR="002478D1" w:rsidRPr="002478D1">
        <w:rPr>
          <w:rFonts w:ascii="Arial" w:hAnsi="Arial" w:cs="Arial"/>
          <w:b/>
          <w:sz w:val="30"/>
          <w:szCs w:val="30"/>
        </w:rPr>
        <w:t>НА 202</w:t>
      </w:r>
      <w:r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>
        <w:rPr>
          <w:rFonts w:ascii="Arial" w:hAnsi="Arial" w:cs="Arial"/>
          <w:b/>
          <w:sz w:val="30"/>
          <w:szCs w:val="30"/>
        </w:rPr>
        <w:t>5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4B64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4B64C8" w:rsidRPr="004B64C8">
              <w:rPr>
                <w:rFonts w:ascii="Courier New" w:hAnsi="Courier New" w:cs="Courier New"/>
                <w:sz w:val="22"/>
                <w:szCs w:val="22"/>
              </w:rPr>
              <w:t xml:space="preserve">рофилактика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 xml:space="preserve">социально-негативных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lastRenderedPageBreak/>
              <w:t>явлений в Ш</w:t>
            </w:r>
            <w:r w:rsidR="004B64C8" w:rsidRPr="004B64C8">
              <w:rPr>
                <w:rFonts w:ascii="Courier New" w:hAnsi="Courier New" w:cs="Courier New"/>
                <w:sz w:val="22"/>
                <w:szCs w:val="22"/>
              </w:rPr>
              <w:t>ироковском муниципальном образовании</w:t>
            </w:r>
            <w:r w:rsidR="004B64C8" w:rsidRPr="00D51F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на 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B64C8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 закон</w:t>
            </w:r>
            <w:r w:rsidR="00D51F4D" w:rsidRPr="004D7525">
              <w:rPr>
                <w:rFonts w:ascii="Courier New" w:hAnsi="Courier New" w:cs="Courier New"/>
                <w:sz w:val="22"/>
                <w:szCs w:val="22"/>
              </w:rPr>
              <w:t xml:space="preserve"> № 131-ФЗ «Об общих принципах организации местного самоупра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 xml:space="preserve">вления в Российской Федерации», </w:t>
            </w:r>
            <w:r w:rsidR="00094735" w:rsidRPr="000130AC">
              <w:rPr>
                <w:rFonts w:ascii="Courier New" w:hAnsi="Courier New" w:cs="Courier New"/>
                <w:sz w:val="22"/>
                <w:szCs w:val="22"/>
              </w:rPr>
              <w:t xml:space="preserve">Закон Иркутской области «Профилактика наркомании и токсикомании в Иркутской </w:t>
            </w:r>
            <w:r w:rsidR="00094735">
              <w:rPr>
                <w:rFonts w:ascii="Courier New" w:hAnsi="Courier New" w:cs="Courier New"/>
                <w:sz w:val="22"/>
                <w:szCs w:val="22"/>
              </w:rPr>
              <w:t xml:space="preserve">области» от 02.03.2002г. № 8-оз, 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Широковского МО от 16.12.2020г.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5574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нное учреждение культуры Широковского муниципального образования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4C8" w:rsidRDefault="004B64C8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AB713C" w:rsidRPr="000130AC" w:rsidRDefault="004B64C8" w:rsidP="00AB71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B713C" w:rsidRPr="000130AC">
              <w:rPr>
                <w:rFonts w:ascii="Courier New" w:hAnsi="Courier New" w:cs="Courier New"/>
                <w:sz w:val="22"/>
                <w:szCs w:val="22"/>
              </w:rPr>
              <w:t xml:space="preserve">.Снижение уровня наркотизации и </w:t>
            </w:r>
            <w:proofErr w:type="gramStart"/>
            <w:r w:rsidR="00AB713C" w:rsidRPr="000130AC">
              <w:rPr>
                <w:rFonts w:ascii="Courier New" w:hAnsi="Courier New" w:cs="Courier New"/>
                <w:sz w:val="22"/>
                <w:szCs w:val="22"/>
              </w:rPr>
              <w:t>связанных</w:t>
            </w:r>
            <w:proofErr w:type="gramEnd"/>
            <w:r w:rsidR="00AB713C" w:rsidRPr="000130AC">
              <w:rPr>
                <w:rFonts w:ascii="Courier New" w:hAnsi="Courier New" w:cs="Courier New"/>
                <w:sz w:val="22"/>
                <w:szCs w:val="22"/>
              </w:rPr>
              <w:t xml:space="preserve"> с ней социально-негативными явлениями в Широковском муниципальном образовании.</w:t>
            </w:r>
          </w:p>
          <w:p w:rsidR="00AB713C" w:rsidRDefault="004B64C8" w:rsidP="00AB713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B713C" w:rsidRPr="000130AC">
              <w:rPr>
                <w:rFonts w:ascii="Courier New" w:hAnsi="Courier New" w:cs="Courier New"/>
                <w:sz w:val="22"/>
                <w:szCs w:val="22"/>
              </w:rPr>
      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E512E8" w:rsidRDefault="00E512E8" w:rsidP="004B64C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</w:t>
            </w:r>
          </w:p>
          <w:p w:rsidR="00730B22" w:rsidRPr="000130AC" w:rsidRDefault="004B64C8" w:rsidP="00730B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730B22" w:rsidRPr="000130AC" w:rsidRDefault="004B64C8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 xml:space="preserve">. Обеспечение досуга подростков на территории </w:t>
            </w:r>
            <w:r w:rsidR="00730B22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730B22" w:rsidRPr="000130AC" w:rsidRDefault="004B64C8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>. Приобщение детей, подростков и молодежи к массовому спорту, другим видам полезной и интересной деятельности.</w:t>
            </w:r>
          </w:p>
          <w:p w:rsidR="00730B22" w:rsidRPr="004D7525" w:rsidRDefault="004B64C8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>. Пропаганда здорового образа жизни.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4B64C8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1B196E" w:rsidP="004B64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15699"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15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15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64C8">
              <w:rPr>
                <w:rFonts w:ascii="Courier New" w:hAnsi="Courier New" w:cs="Courier New"/>
                <w:sz w:val="22"/>
                <w:szCs w:val="22"/>
              </w:rPr>
              <w:t>15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333814" w:rsidRDefault="004B64C8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В целом реализация Программы позволит: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Снижение уровня наркомании, уменьшение антисоциальных проявлений.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наркотиков.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учреждениях.</w:t>
            </w:r>
          </w:p>
          <w:p w:rsidR="006E2D16" w:rsidRPr="00A41CDE" w:rsidRDefault="002F49BA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Современная ситуация в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 xml:space="preserve">В условиях усиливающейся </w:t>
      </w:r>
      <w:proofErr w:type="spellStart"/>
      <w:r w:rsidRPr="00CE4729">
        <w:rPr>
          <w:rFonts w:ascii="Arial" w:hAnsi="Arial" w:cs="Arial"/>
        </w:rPr>
        <w:t>наркоагрессии</w:t>
      </w:r>
      <w:proofErr w:type="spellEnd"/>
      <w:r w:rsidRPr="00CE4729">
        <w:rPr>
          <w:rFonts w:ascii="Arial" w:hAnsi="Arial" w:cs="Arial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Решение проблемы наркомании подпрограммным методом в целом позволяет: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E4729">
        <w:rPr>
          <w:rFonts w:ascii="Arial" w:hAnsi="Arial" w:cs="Arial"/>
        </w:rPr>
        <w:t>расширить диапазон мероприятий по профилактике наркомании и токсикомании;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E4729">
        <w:rPr>
          <w:rFonts w:ascii="Arial" w:hAnsi="Arial" w:cs="Arial"/>
        </w:rPr>
        <w:t>повысить возможности учреждений здравоохранения по выявлению и лечению больных наркоманией;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E4729">
        <w:rPr>
          <w:rFonts w:ascii="Arial" w:hAnsi="Arial" w:cs="Arial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0807FC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4729">
        <w:rPr>
          <w:rFonts w:ascii="Arial" w:hAnsi="Arial" w:cs="Arial"/>
        </w:rPr>
        <w:t>провести обширную информационно-пропагандистскую кампанию по профилактике социально-негатив</w:t>
      </w:r>
      <w:r>
        <w:rPr>
          <w:rFonts w:ascii="Arial" w:hAnsi="Arial" w:cs="Arial"/>
        </w:rPr>
        <w:t>ных явлений в молодежной среде.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25879" w:rsidRDefault="00C25879" w:rsidP="00C05EAB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ЦЕЛИ: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1.Создание и совершенствование современной правовой базы, с учетом изменений действующего законодательства.</w:t>
      </w:r>
    </w:p>
    <w:p w:rsidR="00ED20C0" w:rsidRPr="00ED20C0" w:rsidRDefault="00C25879" w:rsidP="00ED20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20C0" w:rsidRPr="00ED20C0">
        <w:rPr>
          <w:rFonts w:ascii="Arial" w:hAnsi="Arial" w:cs="Arial"/>
        </w:rPr>
        <w:t xml:space="preserve">.Снижение уровня наркотизации и </w:t>
      </w:r>
      <w:proofErr w:type="gramStart"/>
      <w:r w:rsidR="00ED20C0" w:rsidRPr="00ED20C0">
        <w:rPr>
          <w:rFonts w:ascii="Arial" w:hAnsi="Arial" w:cs="Arial"/>
        </w:rPr>
        <w:t>связанных</w:t>
      </w:r>
      <w:proofErr w:type="gramEnd"/>
      <w:r w:rsidR="00ED20C0" w:rsidRPr="00ED20C0">
        <w:rPr>
          <w:rFonts w:ascii="Arial" w:hAnsi="Arial" w:cs="Arial"/>
        </w:rPr>
        <w:t xml:space="preserve"> с ней социально-негативными явлениями в Широковском муниципальном образовании.</w:t>
      </w:r>
    </w:p>
    <w:p w:rsidR="00ED20C0" w:rsidRPr="00ED20C0" w:rsidRDefault="00C25879" w:rsidP="00ED20C0">
      <w:pPr>
        <w:pStyle w:val="a6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>3</w:t>
      </w:r>
      <w:r w:rsidR="00ED20C0" w:rsidRPr="00ED20C0">
        <w:rPr>
          <w:rFonts w:ascii="Arial" w:hAnsi="Arial" w:cs="Arial"/>
        </w:rPr>
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722240" w:rsidRDefault="00C25879" w:rsidP="00C25879">
      <w:pPr>
        <w:pStyle w:val="a6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ЗАДАЧИ:</w:t>
      </w:r>
    </w:p>
    <w:p w:rsidR="001B57E2" w:rsidRPr="001B57E2" w:rsidRDefault="00C25879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57E2" w:rsidRPr="001B57E2">
        <w:rPr>
          <w:rFonts w:ascii="Arial" w:hAnsi="Arial" w:cs="Arial"/>
        </w:rPr>
        <w:t>. Воспитание негативного отношения у детей, подростков и молодежи к вредным привычкам.</w:t>
      </w:r>
    </w:p>
    <w:p w:rsidR="001B57E2" w:rsidRPr="001B57E2" w:rsidRDefault="00C25879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57E2" w:rsidRPr="001B57E2">
        <w:rPr>
          <w:rFonts w:ascii="Arial" w:hAnsi="Arial" w:cs="Arial"/>
        </w:rPr>
        <w:t>. Обеспечение досуга подростков на территории муниципального образования.</w:t>
      </w:r>
    </w:p>
    <w:p w:rsidR="001B57E2" w:rsidRPr="001B57E2" w:rsidRDefault="00C25879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B57E2" w:rsidRPr="001B57E2">
        <w:rPr>
          <w:rFonts w:ascii="Arial" w:hAnsi="Arial" w:cs="Arial"/>
        </w:rPr>
        <w:t>. Приобщение детей, подростков и молодежи к массовому спорту, другим видам полезной и интересной деятельности.</w:t>
      </w:r>
    </w:p>
    <w:p w:rsidR="001B57E2" w:rsidRPr="001B57E2" w:rsidRDefault="00C25879" w:rsidP="001B57E2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1B57E2" w:rsidRPr="001B57E2">
        <w:rPr>
          <w:rFonts w:ascii="Arial" w:hAnsi="Arial" w:cs="Arial"/>
        </w:rPr>
        <w:t>. Пропаганда здорового образа жизни.</w:t>
      </w:r>
    </w:p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D6316C" w:rsidRPr="00D6316C" w:rsidRDefault="00D6316C" w:rsidP="00D6316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 xml:space="preserve">«Профилактика наркомании в Широковском муниципальном образовании» </w:t>
      </w:r>
      <w:r w:rsidRPr="00CE4729">
        <w:rPr>
          <w:rFonts w:ascii="Arial" w:hAnsi="Arial" w:cs="Arial"/>
        </w:rPr>
        <w:t>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3125"/>
        <w:gridCol w:w="1353"/>
        <w:gridCol w:w="750"/>
        <w:gridCol w:w="750"/>
        <w:gridCol w:w="750"/>
        <w:gridCol w:w="902"/>
        <w:gridCol w:w="902"/>
        <w:gridCol w:w="862"/>
      </w:tblGrid>
      <w:tr w:rsidR="00BB66C9" w:rsidTr="00C25879">
        <w:trPr>
          <w:trHeight w:val="630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C25879" w:rsidTr="00C25879">
        <w:trPr>
          <w:cantSplit/>
          <w:trHeight w:val="1134"/>
          <w:jc w:val="center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C258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3г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C258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4г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6C9" w:rsidRDefault="00BB66C9" w:rsidP="00C25879">
            <w:pPr>
              <w:ind w:left="113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5г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C258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3г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C258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4г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B66C9" w:rsidRDefault="00BB66C9" w:rsidP="00C258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5г</w:t>
            </w:r>
          </w:p>
        </w:tc>
      </w:tr>
      <w:tr w:rsidR="00F65092" w:rsidTr="00C25879">
        <w:trPr>
          <w:trHeight w:val="20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C258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C25879" w:rsidP="002C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F650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5092"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 w:rsidR="00F6509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C25879" w:rsidTr="00C25879">
        <w:trPr>
          <w:trHeight w:val="300"/>
          <w:jc w:val="center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C258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5092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Услуга -</w:t>
            </w:r>
            <w:r w:rsidR="007F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типографические работы (печатание рекламных буклетов, листовок, материалов конференций)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586C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bookmarkStart w:id="2" w:name="_GoBack"/>
            <w:bookmarkEnd w:id="2"/>
            <w:r>
              <w:rPr>
                <w:rFonts w:ascii="Courier New" w:hAnsi="Courier New" w:cs="Courier New"/>
                <w:sz w:val="22"/>
                <w:szCs w:val="22"/>
              </w:rPr>
              <w:t>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438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25879" w:rsidTr="00C25879">
        <w:trPr>
          <w:trHeight w:val="30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C258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5092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«Ураган Форте»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25879" w:rsidTr="00C25879">
        <w:trPr>
          <w:trHeight w:val="30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C258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5092">
              <w:rPr>
                <w:rFonts w:ascii="Courier New" w:hAnsi="Courier New" w:cs="Courier New"/>
                <w:sz w:val="22"/>
                <w:szCs w:val="22"/>
              </w:rPr>
              <w:t>.3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268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консультация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специалиста (психиатра, нарколога)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5879" w:rsidTr="00C25879">
        <w:trPr>
          <w:trHeight w:val="30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C258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.4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C25879" w:rsidP="00C258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материальных ресурсов для уничтожения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F48EB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="00DF48EB">
              <w:rPr>
                <w:rFonts w:ascii="Courier New" w:hAnsi="Courier New" w:cs="Courier New"/>
                <w:sz w:val="22"/>
                <w:szCs w:val="22"/>
              </w:rPr>
              <w:t xml:space="preserve"> растений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EB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25879" w:rsidTr="00C25879">
        <w:trPr>
          <w:trHeight w:val="30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E438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25879" w:rsidRPr="00C25879">
              <w:rPr>
                <w:rFonts w:ascii="Courier New" w:hAnsi="Courier New" w:cs="Courier New"/>
                <w:sz w:val="22"/>
                <w:szCs w:val="22"/>
              </w:rPr>
              <w:t xml:space="preserve">Профилактика социально-негативных явлений в Широковском муниципальном образовании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на 202</w:t>
            </w:r>
            <w:r w:rsidR="00586CF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586CF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586CF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C2587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150C"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2587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C2587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2587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2587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2587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25879" w:rsidRPr="00C25879">
              <w:rPr>
                <w:rFonts w:ascii="Courier New" w:hAnsi="Courier New" w:cs="Courier New"/>
                <w:sz w:val="22"/>
                <w:szCs w:val="22"/>
              </w:rPr>
              <w:t xml:space="preserve">Профилактика социально-негативных явлений в Широковском муниципальном образовании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на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C25879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5879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5879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5879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 w:rsidP="00FE2F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9" w:rsidRDefault="00C2587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Ответственным исполнителем Подпрограммы «Профилактика наркомании в Широковском муниципальном образовании» является </w:t>
      </w:r>
      <w:r w:rsidR="006759C3">
        <w:rPr>
          <w:rFonts w:ascii="Arial" w:hAnsi="Arial" w:cs="Arial"/>
        </w:rPr>
        <w:t>администрация Широковского муниципального образования с участием Муниципального казенного учреждения</w:t>
      </w:r>
      <w:r>
        <w:rPr>
          <w:rFonts w:ascii="Arial" w:hAnsi="Arial" w:cs="Arial"/>
        </w:rPr>
        <w:t xml:space="preserve"> культуры Широковского муниципального образ</w:t>
      </w:r>
      <w:r w:rsidR="006759C3">
        <w:rPr>
          <w:rFonts w:ascii="Arial" w:hAnsi="Arial" w:cs="Arial"/>
        </w:rPr>
        <w:t xml:space="preserve">ования», </w:t>
      </w:r>
      <w:r>
        <w:rPr>
          <w:rFonts w:ascii="Arial" w:hAnsi="Arial" w:cs="Arial"/>
        </w:rPr>
        <w:t>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общеобразовательная школа», комиссией по делам несовершеннолетних, фельдшерско акушерскими пунктами, располож</w:t>
      </w:r>
      <w:r w:rsidR="00B33CAB">
        <w:rPr>
          <w:rFonts w:ascii="Arial" w:hAnsi="Arial" w:cs="Arial"/>
        </w:rPr>
        <w:t xml:space="preserve">енными на территории поселения.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Широковского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2029"/>
        <w:gridCol w:w="851"/>
        <w:gridCol w:w="850"/>
        <w:gridCol w:w="891"/>
        <w:gridCol w:w="956"/>
      </w:tblGrid>
      <w:tr w:rsidR="00722240" w:rsidTr="008C692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8C692D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587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3F5C50" w:rsidTr="008C69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уровня наркомании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8C6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8C69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8C69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профилактических и пропагандистских мероприятий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8C6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5C50" w:rsidTr="008C69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Разработать систему мониторинга по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определению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8C6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5C50" w:rsidTr="008C692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8C6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3F5C50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3F5C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C692D" w:rsidP="00C258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4756A7" w:rsidTr="008C692D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D46E29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наркомании 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в Широковском муниципальном образовании.</w:t>
            </w:r>
          </w:p>
        </w:tc>
      </w:tr>
      <w:tr w:rsidR="004756A7" w:rsidTr="008C69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8C692D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нное учреждение культуры Широковского муниципального образования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4756A7" w:rsidTr="008C692D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29" w:rsidRPr="000130AC" w:rsidRDefault="004756A7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.Снижение уровня наркотизации и </w:t>
            </w:r>
            <w:proofErr w:type="gramStart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связанных</w:t>
            </w:r>
            <w:proofErr w:type="gramEnd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 с ней социально-негативными явлениями в Широковском муниципальном образовании.</w:t>
            </w:r>
          </w:p>
          <w:p w:rsidR="00D46E29" w:rsidRDefault="00D46E29" w:rsidP="00D46E2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D46E29" w:rsidRPr="000130AC" w:rsidRDefault="002F1D3E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досуга подростков на территории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4756A7" w:rsidRDefault="002F1D3E" w:rsidP="00040CD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жизни.</w:t>
            </w:r>
          </w:p>
        </w:tc>
      </w:tr>
      <w:tr w:rsidR="004756A7" w:rsidTr="008C692D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8C69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4756A7" w:rsidTr="008C69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5,0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692D">
              <w:rPr>
                <w:rFonts w:ascii="Courier New" w:hAnsi="Courier New" w:cs="Courier New"/>
                <w:sz w:val="22"/>
                <w:szCs w:val="22"/>
              </w:rPr>
              <w:t>5,0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8C69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Снижение уровня наркомании, уменьшение антисоциальных проявлений.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наркотиков.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жизни,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учреждениях.</w:t>
            </w:r>
          </w:p>
          <w:p w:rsidR="004756A7" w:rsidRDefault="00C81C7F" w:rsidP="00C81C7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4756A7" w:rsidTr="00040CDB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040CDB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9969C4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040CDB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969C4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Пресечение распространения наркотических средств и психотропных веществ</w:t>
            </w: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9969C4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8C6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8C692D" w:rsidRDefault="008C692D" w:rsidP="008C6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(приобретение материальных ресурсов для уничтожения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969C4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08D4">
              <w:rPr>
                <w:rFonts w:ascii="Courier New" w:hAnsi="Courier New" w:cs="Courier New"/>
                <w:sz w:val="22"/>
                <w:szCs w:val="22"/>
              </w:rPr>
              <w:t>Профилактика социально – негативных явлений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в молодежной среде</w:t>
            </w:r>
          </w:p>
        </w:tc>
      </w:tr>
      <w:tr w:rsidR="008C692D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9969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Печатание рекламных буклетов, листовок, материалов конференций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Pr="00042026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42026">
              <w:rPr>
                <w:rFonts w:ascii="Courier New" w:hAnsi="Courier New" w:cs="Courier New"/>
                <w:sz w:val="22"/>
                <w:szCs w:val="22"/>
              </w:rPr>
              <w:t>Консультации специалистов (психиатра, нарколога)</w:t>
            </w:r>
            <w:r w:rsidR="00042026" w:rsidRPr="000420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42026" w:rsidRPr="00042026" w:rsidRDefault="00042026" w:rsidP="00040CDB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2026"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 w:rsidRPr="00042026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042026"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692D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92D" w:rsidRDefault="008C692D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FE2FA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92D" w:rsidRDefault="008C692D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B244DB"/>
    <w:sectPr w:rsidR="004756A7" w:rsidSect="00C25879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42026"/>
    <w:rsid w:val="000807FC"/>
    <w:rsid w:val="00094735"/>
    <w:rsid w:val="0010094C"/>
    <w:rsid w:val="0011205F"/>
    <w:rsid w:val="0011330B"/>
    <w:rsid w:val="00131848"/>
    <w:rsid w:val="00153835"/>
    <w:rsid w:val="001B08D4"/>
    <w:rsid w:val="001B196E"/>
    <w:rsid w:val="001B57E2"/>
    <w:rsid w:val="001F166C"/>
    <w:rsid w:val="002478D1"/>
    <w:rsid w:val="002C7BE6"/>
    <w:rsid w:val="002F1D3E"/>
    <w:rsid w:val="002F49BA"/>
    <w:rsid w:val="00333814"/>
    <w:rsid w:val="003375B0"/>
    <w:rsid w:val="00344813"/>
    <w:rsid w:val="003505A9"/>
    <w:rsid w:val="0036529D"/>
    <w:rsid w:val="003A723B"/>
    <w:rsid w:val="003C0638"/>
    <w:rsid w:val="003C1EC8"/>
    <w:rsid w:val="003C2894"/>
    <w:rsid w:val="003F5C50"/>
    <w:rsid w:val="003F6EBA"/>
    <w:rsid w:val="0046281F"/>
    <w:rsid w:val="004756A7"/>
    <w:rsid w:val="00482113"/>
    <w:rsid w:val="004B64C8"/>
    <w:rsid w:val="004B76B8"/>
    <w:rsid w:val="0051525D"/>
    <w:rsid w:val="005557BD"/>
    <w:rsid w:val="005574EE"/>
    <w:rsid w:val="005834CB"/>
    <w:rsid w:val="0058495F"/>
    <w:rsid w:val="00586CF5"/>
    <w:rsid w:val="0059278E"/>
    <w:rsid w:val="005D31F9"/>
    <w:rsid w:val="005E2BDC"/>
    <w:rsid w:val="006759C3"/>
    <w:rsid w:val="006B4FA6"/>
    <w:rsid w:val="006D3757"/>
    <w:rsid w:val="006E2D16"/>
    <w:rsid w:val="00715699"/>
    <w:rsid w:val="00722240"/>
    <w:rsid w:val="00730B22"/>
    <w:rsid w:val="0073150C"/>
    <w:rsid w:val="00731DAC"/>
    <w:rsid w:val="0075393B"/>
    <w:rsid w:val="00771FBB"/>
    <w:rsid w:val="00794006"/>
    <w:rsid w:val="007E3922"/>
    <w:rsid w:val="007E5540"/>
    <w:rsid w:val="007F13FA"/>
    <w:rsid w:val="00852464"/>
    <w:rsid w:val="008A63BE"/>
    <w:rsid w:val="008C692D"/>
    <w:rsid w:val="009969C4"/>
    <w:rsid w:val="009C04D1"/>
    <w:rsid w:val="009C61F5"/>
    <w:rsid w:val="00A04526"/>
    <w:rsid w:val="00A41CDE"/>
    <w:rsid w:val="00A84142"/>
    <w:rsid w:val="00AB713C"/>
    <w:rsid w:val="00AF7EF1"/>
    <w:rsid w:val="00B03752"/>
    <w:rsid w:val="00B1231B"/>
    <w:rsid w:val="00B1765D"/>
    <w:rsid w:val="00B244DB"/>
    <w:rsid w:val="00B33CAB"/>
    <w:rsid w:val="00B55D27"/>
    <w:rsid w:val="00B815E9"/>
    <w:rsid w:val="00BA2735"/>
    <w:rsid w:val="00BB66C9"/>
    <w:rsid w:val="00C0259B"/>
    <w:rsid w:val="00C05EAB"/>
    <w:rsid w:val="00C067D4"/>
    <w:rsid w:val="00C25879"/>
    <w:rsid w:val="00C268A0"/>
    <w:rsid w:val="00C32D8C"/>
    <w:rsid w:val="00C467E2"/>
    <w:rsid w:val="00C81C7F"/>
    <w:rsid w:val="00CC0E12"/>
    <w:rsid w:val="00CC7708"/>
    <w:rsid w:val="00CF07A0"/>
    <w:rsid w:val="00D17DF7"/>
    <w:rsid w:val="00D45847"/>
    <w:rsid w:val="00D46E29"/>
    <w:rsid w:val="00D51F4D"/>
    <w:rsid w:val="00D6316C"/>
    <w:rsid w:val="00D810A7"/>
    <w:rsid w:val="00D91467"/>
    <w:rsid w:val="00DE319A"/>
    <w:rsid w:val="00DF48EB"/>
    <w:rsid w:val="00E14331"/>
    <w:rsid w:val="00E25771"/>
    <w:rsid w:val="00E4388D"/>
    <w:rsid w:val="00E512E8"/>
    <w:rsid w:val="00EA5783"/>
    <w:rsid w:val="00EB6ECD"/>
    <w:rsid w:val="00ED20C0"/>
    <w:rsid w:val="00EE085A"/>
    <w:rsid w:val="00EF6B49"/>
    <w:rsid w:val="00EF7076"/>
    <w:rsid w:val="00F20362"/>
    <w:rsid w:val="00F222AC"/>
    <w:rsid w:val="00F50041"/>
    <w:rsid w:val="00F65092"/>
    <w:rsid w:val="00F8027E"/>
    <w:rsid w:val="00F846E0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88</cp:revision>
  <cp:lastPrinted>2023-01-06T04:46:00Z</cp:lastPrinted>
  <dcterms:created xsi:type="dcterms:W3CDTF">2020-12-23T04:17:00Z</dcterms:created>
  <dcterms:modified xsi:type="dcterms:W3CDTF">2023-01-06T04:46:00Z</dcterms:modified>
</cp:coreProperties>
</file>